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535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>
      <w:pPr>
        <w:spacing w:after="24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Anträge Gruppe SPD / Bündnis 90/Die Grünen zum Haushalt 2023/2024</w:t>
      </w:r>
    </w:p>
    <w:p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Wirtschaftsausschuss (AWVBPE) am 16.02.2023</w:t>
      </w:r>
    </w:p>
    <w:p/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559"/>
        <w:gridCol w:w="1560"/>
        <w:gridCol w:w="1984"/>
        <w:gridCol w:w="2126"/>
        <w:gridCol w:w="3544"/>
      </w:tblGrid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Zweck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2023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Ansatz 2024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 SPD/Grüne 2023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Antrag / Veränderung</w:t>
            </w:r>
          </w:p>
          <w:p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SPD/Grüne 2024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Bemerkungen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Erhöhung der Grundfinanzierung der SüdniedersachsenStiftung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25.000 €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25.000 €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43.750 €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(+ 18.750 €)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43.750 €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(+ 18.750 €)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Vorlage 0352/2022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 xml:space="preserve">25.000 € + 75 % (18.750 €) = 43.750 €, </w:t>
            </w: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freiwillige Leistung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Iberger Albertturm - Antrag Förderung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10.000 €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(+ 10.000 €)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--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Vorlage 0020/2023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freiwillige Leistung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IKZ-Kooperation des Landkreises Göttingen im Rahmen der Landesgartenschau Bad Gandersheim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75.000 €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(+ 75.000 €)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--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Vorlage 0221/2023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freiwillige Leistung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Zuschuss Energieagentur Region Göttingen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62.500 €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62.500 €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80.000 €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(+ 17.500 €)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80.000 €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(+ 17.500 €)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Overhead Förderprogramm Altbausanierung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freiwillige Leistung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Klimafolgenanpassungskonzept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--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56.300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(+ 56.300)</w:t>
            </w:r>
          </w:p>
        </w:tc>
        <w:tc>
          <w:tcPr>
            <w:tcW w:w="3544" w:type="dxa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Kofinanzierung</w:t>
            </w:r>
            <w:proofErr w:type="spellEnd"/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Bundesprogramm, 80 %-Förderung, maximal 225.000 €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freiwillige Leistung</w:t>
            </w:r>
          </w:p>
        </w:tc>
      </w:tr>
      <w:tr>
        <w:tc>
          <w:tcPr>
            <w:tcW w:w="14600" w:type="dxa"/>
            <w:gridSpan w:val="6"/>
            <w:vAlign w:val="center"/>
          </w:tcPr>
          <w:p>
            <w:pPr>
              <w:rPr>
                <w:rFonts w:asciiTheme="minorHAnsi" w:eastAsiaTheme="minorHAnsi" w:hAnsiTheme="minorHAnsi" w:cstheme="minorBidi"/>
                <w:i/>
                <w:sz w:val="24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u w:val="single"/>
                <w:lang w:eastAsia="en-US"/>
              </w:rPr>
              <w:t>Zuschuss Bau einer Zwei-Feld-Sporthalle in Bovenden: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Planungskosten Anteil LK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78.000 €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(+ 78.000 €)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--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Gemeinde übernimmt 40 %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Pflichtbereich</w:t>
            </w:r>
          </w:p>
        </w:tc>
      </w:tr>
      <w:tr>
        <w:tc>
          <w:tcPr>
            <w:tcW w:w="3827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Baukosten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0 €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--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4.000.000 €</w:t>
            </w:r>
          </w:p>
          <w:p>
            <w:pPr>
              <w:jc w:val="right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(+ 4.000.000 €)</w:t>
            </w:r>
          </w:p>
        </w:tc>
        <w:tc>
          <w:tcPr>
            <w:tcW w:w="3544" w:type="dxa"/>
            <w:vAlign w:val="center"/>
          </w:tcPr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  <w:t>Baukosten (8 Mio. € - davon Anteil LK 50 %)</w:t>
            </w:r>
          </w:p>
          <w:p>
            <w:pPr>
              <w:rPr>
                <w:rFonts w:asciiTheme="minorHAnsi" w:eastAsiaTheme="minorHAnsi" w:hAnsiTheme="minorHAnsi" w:cstheme="minorBidi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2"/>
                <w:lang w:eastAsia="en-US"/>
              </w:rPr>
              <w:t>investive Maßnahme</w:t>
            </w:r>
          </w:p>
        </w:tc>
      </w:tr>
    </w:tbl>
    <w:p>
      <w:pPr>
        <w:ind w:left="142"/>
        <w:rPr>
          <w:rFonts w:asciiTheme="minorHAnsi" w:hAnsiTheme="minorHAnsi"/>
          <w:b/>
          <w:sz w:val="28"/>
          <w:szCs w:val="28"/>
        </w:rPr>
      </w:pPr>
    </w:p>
    <w:p>
      <w:pPr>
        <w:ind w:left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Änderungen zum Stellenplan 2023/2024</w:t>
      </w:r>
    </w:p>
    <w:p>
      <w:pPr>
        <w:ind w:left="142"/>
        <w:rPr>
          <w:sz w:val="16"/>
          <w:szCs w:val="16"/>
        </w:rPr>
      </w:pPr>
    </w:p>
    <w:tbl>
      <w:tblPr>
        <w:tblStyle w:val="Tabellenraster"/>
        <w:tblW w:w="14600" w:type="dxa"/>
        <w:tblInd w:w="137" w:type="dxa"/>
        <w:tblLook w:val="04A0" w:firstRow="1" w:lastRow="0" w:firstColumn="1" w:lastColumn="0" w:noHBand="0" w:noVBand="1"/>
      </w:tblPr>
      <w:tblGrid>
        <w:gridCol w:w="2383"/>
        <w:gridCol w:w="2727"/>
        <w:gridCol w:w="1653"/>
        <w:gridCol w:w="1459"/>
        <w:gridCol w:w="1891"/>
        <w:gridCol w:w="1467"/>
        <w:gridCol w:w="3020"/>
      </w:tblGrid>
      <w:t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Was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Eingruppierung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Entwurf 2023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Änderungen 2023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Entwurf 2024 </w:t>
            </w:r>
            <w:r>
              <w:rPr>
                <w:rFonts w:asciiTheme="minorHAnsi" w:hAnsiTheme="minorHAnsi"/>
                <w:sz w:val="22"/>
                <w:szCs w:val="22"/>
              </w:rPr>
              <w:t>(zu 2022)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Änderungen 2024 </w:t>
            </w:r>
            <w:r>
              <w:rPr>
                <w:rFonts w:asciiTheme="minorHAnsi" w:hAnsiTheme="minorHAnsi"/>
                <w:sz w:val="22"/>
                <w:szCs w:val="22"/>
              </w:rPr>
              <w:t>(entsprechend 2023)</w:t>
            </w:r>
          </w:p>
        </w:tc>
      </w:tr>
      <w:t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OE 05 Nachhaltige Regionalentwicklung</w:t>
            </w:r>
          </w:p>
        </w:tc>
      </w:tr>
      <w:t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(werden zu 100 % vom Land bezahlt)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Klimaschutzmanager*innen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(Ingenieur*in)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+ 2,0</w:t>
            </w:r>
          </w:p>
        </w:tc>
      </w:tr>
      <w:t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FB 60 Bauen</w:t>
            </w:r>
          </w:p>
        </w:tc>
      </w:tr>
      <w:t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60.2 (Liste unberücksichtigt Nr. 3)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SB „Radverkehr“</w:t>
            </w:r>
          </w:p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(Ingenieur*in)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+ 0,6 auf 1,0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+ 0,6 auf 1,0</w:t>
            </w:r>
          </w:p>
        </w:tc>
      </w:tr>
      <w:t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60.1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ÖPNV (Ingenieur*in)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+ 0,5 auf 1,5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+ 0,5 auf 1,5</w:t>
            </w:r>
          </w:p>
        </w:tc>
      </w:tr>
    </w:tbl>
    <w:p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>
      <w:headerReference w:type="default" r:id="rId7"/>
      <w:footerReference w:type="even" r:id="rId8"/>
      <w:footerReference w:type="default" r:id="rId9"/>
      <w:pgSz w:w="16838" w:h="11906" w:orient="landscape"/>
      <w:pgMar w:top="851" w:right="851" w:bottom="851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8461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>
        <w:pPr>
          <w:pStyle w:val="Fuzeile"/>
          <w:jc w:val="center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4"/>
          </w:rPr>
          <w:fldChar w:fldCharType="begin"/>
        </w:r>
        <w:r>
          <w:rPr>
            <w:rFonts w:asciiTheme="minorHAnsi" w:hAnsiTheme="minorHAnsi"/>
            <w:sz w:val="24"/>
          </w:rPr>
          <w:instrText>PAGE   \* MERGEFORMAT</w:instrText>
        </w:r>
        <w:r>
          <w:rPr>
            <w:rFonts w:asciiTheme="minorHAnsi" w:hAnsiTheme="minorHAnsi"/>
            <w:sz w:val="24"/>
          </w:rPr>
          <w:fldChar w:fldCharType="separate"/>
        </w:r>
        <w:r>
          <w:rPr>
            <w:rFonts w:asciiTheme="minorHAnsi" w:hAnsiTheme="minorHAnsi"/>
            <w:noProof/>
            <w:sz w:val="24"/>
          </w:rPr>
          <w:t>2</w:t>
        </w:r>
        <w:r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b/>
        <w:bCs/>
        <w:color w:val="000000"/>
        <w:sz w:val="32"/>
        <w:szCs w:val="32"/>
      </w:rPr>
    </w:pPr>
    <w:r>
      <w:rPr>
        <w:b/>
        <w:bCs/>
        <w:noProof/>
        <w:color w:val="000000"/>
        <w:sz w:val="32"/>
        <w:szCs w:val="32"/>
      </w:rPr>
      <w:drawing>
        <wp:inline distT="0" distB="0" distL="0" distR="0">
          <wp:extent cx="980440" cy="9804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b/>
        <w:bCs/>
        <w:color w:val="000000"/>
        <w:sz w:val="32"/>
        <w:szCs w:val="32"/>
      </w:rPr>
      <w:tab/>
    </w:r>
    <w:r>
      <w:rPr>
        <w:noProof/>
        <w:sz w:val="24"/>
        <w:szCs w:val="24"/>
      </w:rPr>
      <w:drawing>
        <wp:inline distT="0" distB="0" distL="0" distR="0">
          <wp:extent cx="1411605" cy="1002030"/>
          <wp:effectExtent l="0" t="0" r="0" b="7620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EDF1-CE4E-4AAF-A990-07BD61B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8CAB-9EF3-4574-B9F7-AEF1E566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Göttingen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SPD-KTF</dc:creator>
  <cp:lastModifiedBy>Gruene Kreistagsfraktion</cp:lastModifiedBy>
  <cp:revision>2</cp:revision>
  <dcterms:created xsi:type="dcterms:W3CDTF">2023-02-17T11:24:00Z</dcterms:created>
  <dcterms:modified xsi:type="dcterms:W3CDTF">2023-02-17T11:24:00Z</dcterms:modified>
</cp:coreProperties>
</file>