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Anträge Gruppe SPD / Bündnis 90/Die Grünen zum Haushalt 2023/2024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Kreisausschuss (KA) am 07.03.2023</w:t>
      </w:r>
    </w:p>
    <w:p>
      <w:pPr>
        <w:spacing w:after="200" w:line="276" w:lineRule="auto"/>
      </w:pPr>
    </w:p>
    <w:tbl>
      <w:tblPr>
        <w:tblStyle w:val="Tabellenraster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1560"/>
        <w:gridCol w:w="1984"/>
        <w:gridCol w:w="2126"/>
        <w:gridCol w:w="2835"/>
      </w:tblGrid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Produkt / Seite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Zweck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2023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(Stand 03.03.)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2024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(Stand 03.03.)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Veränderung SPD/Grüne 2023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Veränderung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SPD/Grüne 2024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Bemerkungen</w:t>
            </w:r>
          </w:p>
        </w:tc>
      </w:tr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neu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Unterstützungsfonds Tafeln im Landkreis Göttingen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25.000 €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(+ 25.000 €)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Neuen Fördertopf für alle Tafeln im Landkreis schaffen analog Förderung der Naturschutzverbände. Entwicklung eines Kriterienkataloges notwendig.</w:t>
            </w:r>
          </w:p>
        </w:tc>
      </w:tr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neu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BIGS Sprach- und Integrationskursberatung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24.000 €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(+ 24.000 €)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281000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Waldbühne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Bremke</w:t>
            </w:r>
            <w:proofErr w:type="spellEnd"/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zusätzlicher Zuschuss Instandsetzung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15.000 €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20.000 €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(+ 5.000 €)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10.000 €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für nötige Instandsetzung (z.B. Sitzreihen und Bühnentechnik) </w:t>
            </w:r>
          </w:p>
        </w:tc>
      </w:tr>
    </w:tbl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ind w:left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Änderungen zum Stellenplan 2023/2024</w:t>
      </w:r>
    </w:p>
    <w:tbl>
      <w:tblPr>
        <w:tblStyle w:val="Tabellenraster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02"/>
        <w:gridCol w:w="2868"/>
        <w:gridCol w:w="1680"/>
        <w:gridCol w:w="1088"/>
        <w:gridCol w:w="2693"/>
        <w:gridCol w:w="1134"/>
        <w:gridCol w:w="2835"/>
      </w:tblGrid>
      <w:tr>
        <w:tc>
          <w:tcPr>
            <w:tcW w:w="2302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Wo</w:t>
            </w:r>
          </w:p>
        </w:tc>
        <w:tc>
          <w:tcPr>
            <w:tcW w:w="2868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Was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Eingruppierung</w:t>
            </w:r>
          </w:p>
        </w:tc>
        <w:tc>
          <w:tcPr>
            <w:tcW w:w="1088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Entwurf 2023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Änderungen 2023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Entwurf 2024</w:t>
            </w:r>
          </w:p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(zu 2022)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Änderungen 2024</w:t>
            </w:r>
          </w:p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(entsprechend 2023)</w:t>
            </w:r>
          </w:p>
        </w:tc>
      </w:tr>
      <w:tr>
        <w:tc>
          <w:tcPr>
            <w:tcW w:w="14600" w:type="dxa"/>
            <w:gridSpan w:val="7"/>
          </w:tcPr>
          <w:p>
            <w:pPr>
              <w:tabs>
                <w:tab w:val="center" w:pos="7401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FB 60 Bauen</w:t>
            </w:r>
          </w:p>
        </w:tc>
      </w:tr>
      <w:tr>
        <w:tc>
          <w:tcPr>
            <w:tcW w:w="2302" w:type="dxa"/>
          </w:tcPr>
          <w:p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neu</w:t>
            </w:r>
          </w:p>
        </w:tc>
        <w:tc>
          <w:tcPr>
            <w:tcW w:w="2868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Raumordnung</w:t>
            </w:r>
          </w:p>
        </w:tc>
        <w:tc>
          <w:tcPr>
            <w:tcW w:w="1680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EG 12</w:t>
            </w:r>
          </w:p>
        </w:tc>
        <w:tc>
          <w:tcPr>
            <w:tcW w:w="1088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+ 1,0 </w:t>
            </w:r>
            <w:proofErr w:type="spellStart"/>
            <w:r>
              <w:rPr>
                <w:rFonts w:asciiTheme="minorHAnsi" w:hAnsiTheme="minorHAnsi"/>
                <w:b/>
                <w:sz w:val="23"/>
                <w:szCs w:val="23"/>
              </w:rPr>
              <w:t>kw</w:t>
            </w:r>
            <w:proofErr w:type="spellEnd"/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01.01.2026</w:t>
            </w:r>
          </w:p>
        </w:tc>
        <w:tc>
          <w:tcPr>
            <w:tcW w:w="1134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835" w:type="dxa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+ 1,0 </w:t>
            </w:r>
            <w:proofErr w:type="spellStart"/>
            <w:r>
              <w:rPr>
                <w:rFonts w:asciiTheme="minorHAnsi" w:hAnsiTheme="minorHAnsi"/>
                <w:b/>
                <w:sz w:val="23"/>
                <w:szCs w:val="23"/>
              </w:rPr>
              <w:t>kw</w:t>
            </w:r>
            <w:proofErr w:type="spellEnd"/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01.01.2026</w:t>
            </w:r>
          </w:p>
        </w:tc>
      </w:tr>
    </w:tbl>
    <w:p>
      <w:pPr>
        <w:rPr>
          <w:rFonts w:asciiTheme="minorHAnsi" w:hAnsiTheme="minorHAnsi"/>
          <w:sz w:val="23"/>
          <w:szCs w:val="23"/>
        </w:rPr>
      </w:pPr>
    </w:p>
    <w:sectPr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1" w:right="820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346015"/>
      <w:docPartObj>
        <w:docPartGallery w:val="Page Numbers (Bottom of Page)"/>
        <w:docPartUnique/>
      </w:docPartObj>
    </w:sdtPr>
    <w:sdtEndPr>
      <w:rPr>
        <w:rFonts w:ascii="Calibri" w:hAnsi="Calibri"/>
        <w:sz w:val="23"/>
        <w:szCs w:val="23"/>
      </w:rPr>
    </w:sdtEndPr>
    <w:sdtContent>
      <w:p>
        <w:pPr>
          <w:pStyle w:val="Fuzeile"/>
          <w:jc w:val="center"/>
          <w:rPr>
            <w:rFonts w:ascii="Calibri" w:hAnsi="Calibri"/>
            <w:sz w:val="23"/>
            <w:szCs w:val="23"/>
          </w:rPr>
        </w:pPr>
        <w:r>
          <w:rPr>
            <w:rFonts w:ascii="Calibri" w:hAnsi="Calibri"/>
            <w:sz w:val="23"/>
            <w:szCs w:val="23"/>
          </w:rPr>
          <w:fldChar w:fldCharType="begin"/>
        </w:r>
        <w:r>
          <w:rPr>
            <w:rFonts w:ascii="Calibri" w:hAnsi="Calibri"/>
            <w:sz w:val="23"/>
            <w:szCs w:val="23"/>
          </w:rPr>
          <w:instrText>PAGE   \* MERGEFORMAT</w:instrText>
        </w:r>
        <w:r>
          <w:rPr>
            <w:rFonts w:ascii="Calibri" w:hAnsi="Calibri"/>
            <w:sz w:val="23"/>
            <w:szCs w:val="23"/>
          </w:rPr>
          <w:fldChar w:fldCharType="separate"/>
        </w:r>
        <w:r>
          <w:rPr>
            <w:rFonts w:ascii="Calibri" w:hAnsi="Calibri"/>
            <w:noProof/>
            <w:sz w:val="23"/>
            <w:szCs w:val="23"/>
          </w:rPr>
          <w:t>2</w:t>
        </w:r>
        <w:r>
          <w:rPr>
            <w:rFonts w:ascii="Calibri" w:hAnsi="Calibri"/>
            <w:sz w:val="23"/>
            <w:szCs w:val="23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b/>
        <w:bCs/>
        <w:color w:val="000000"/>
        <w:sz w:val="32"/>
        <w:szCs w:val="32"/>
      </w:rPr>
    </w:pPr>
    <w:r>
      <w:rPr>
        <w:b/>
        <w:bCs/>
        <w:noProof/>
        <w:color w:val="000000"/>
        <w:sz w:val="32"/>
        <w:szCs w:val="32"/>
      </w:rPr>
      <w:drawing>
        <wp:inline distT="0" distB="0" distL="0" distR="0">
          <wp:extent cx="980440" cy="980440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noProof/>
        <w:sz w:val="24"/>
        <w:szCs w:val="24"/>
      </w:rPr>
      <w:drawing>
        <wp:inline distT="0" distB="0" distL="0" distR="0">
          <wp:extent cx="1411605" cy="1002030"/>
          <wp:effectExtent l="0" t="0" r="0" b="7620"/>
          <wp:docPr id="18" name="Grafik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EDF1-CE4E-4AAF-A990-07BD61B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5A4B-6CE9-4987-BAB2-4B442210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Göttingen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SPD-KTF</dc:creator>
  <cp:lastModifiedBy>Gruene Kreistagsfraktion</cp:lastModifiedBy>
  <cp:revision>3</cp:revision>
  <cp:lastPrinted>2023-02-22T15:46:00Z</cp:lastPrinted>
  <dcterms:created xsi:type="dcterms:W3CDTF">2023-03-08T09:57:00Z</dcterms:created>
  <dcterms:modified xsi:type="dcterms:W3CDTF">2023-03-08T09:58:00Z</dcterms:modified>
</cp:coreProperties>
</file>